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3" w:rsidRPr="00C848B9" w:rsidRDefault="00935893" w:rsidP="00BC42C0">
      <w:pPr>
        <w:widowControl w:val="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F73EB2" w:rsidRPr="00C848B9" w:rsidRDefault="00F73EB2" w:rsidP="00BC42C0">
      <w:pPr>
        <w:widowControl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C848B9">
        <w:rPr>
          <w:rFonts w:asciiTheme="minorHAnsi" w:hAnsiTheme="minorHAnsi" w:cstheme="minorHAnsi"/>
          <w:b/>
          <w:color w:val="000000"/>
          <w:sz w:val="22"/>
        </w:rPr>
        <w:t>Oświadczenie</w:t>
      </w:r>
    </w:p>
    <w:p w:rsidR="00FD3F24" w:rsidRPr="00C848B9" w:rsidRDefault="00FD3F24" w:rsidP="00BC42C0">
      <w:pPr>
        <w:widowControl w:val="0"/>
        <w:spacing w:before="120"/>
        <w:jc w:val="center"/>
        <w:rPr>
          <w:rStyle w:val="markedcontent"/>
          <w:rFonts w:asciiTheme="minorHAnsi" w:hAnsiTheme="minorHAnsi" w:cstheme="minorHAnsi"/>
          <w:sz w:val="22"/>
        </w:rPr>
      </w:pPr>
      <w:r w:rsidRPr="00C848B9">
        <w:rPr>
          <w:rStyle w:val="markedcontent"/>
          <w:rFonts w:asciiTheme="minorHAnsi" w:hAnsiTheme="minorHAnsi" w:cstheme="minorHAnsi"/>
          <w:sz w:val="22"/>
        </w:rPr>
        <w:t xml:space="preserve">o aktualności informacji zawartych w oświadczeniu, </w:t>
      </w:r>
    </w:p>
    <w:p w:rsidR="00FD3F24" w:rsidRPr="00C848B9" w:rsidRDefault="00FD3F24" w:rsidP="00075EC7">
      <w:pPr>
        <w:widowControl w:val="0"/>
        <w:jc w:val="center"/>
        <w:rPr>
          <w:rStyle w:val="markedcontent"/>
          <w:rFonts w:asciiTheme="minorHAnsi" w:hAnsiTheme="minorHAnsi" w:cstheme="minorHAnsi"/>
          <w:sz w:val="22"/>
        </w:rPr>
      </w:pPr>
      <w:r w:rsidRPr="00C848B9">
        <w:rPr>
          <w:rStyle w:val="markedcontent"/>
          <w:rFonts w:asciiTheme="minorHAnsi" w:hAnsiTheme="minorHAnsi" w:cstheme="minorHAnsi"/>
          <w:sz w:val="22"/>
        </w:rPr>
        <w:t xml:space="preserve">o którym mowa w art. 125 ust. 1 ustawy </w:t>
      </w:r>
      <w:proofErr w:type="spellStart"/>
      <w:r w:rsidRPr="00C848B9">
        <w:rPr>
          <w:rStyle w:val="markedcontent"/>
          <w:rFonts w:asciiTheme="minorHAnsi" w:hAnsiTheme="minorHAnsi" w:cstheme="minorHAnsi"/>
          <w:sz w:val="22"/>
        </w:rPr>
        <w:t>Pzp</w:t>
      </w:r>
      <w:proofErr w:type="spellEnd"/>
      <w:r w:rsidRPr="00C848B9">
        <w:rPr>
          <w:rStyle w:val="markedcontent"/>
          <w:rFonts w:asciiTheme="minorHAnsi" w:hAnsiTheme="minorHAnsi" w:cstheme="minorHAnsi"/>
          <w:sz w:val="22"/>
        </w:rPr>
        <w:t>.</w:t>
      </w:r>
      <w:r w:rsidRPr="00C848B9">
        <w:rPr>
          <w:rFonts w:asciiTheme="minorHAnsi" w:hAnsiTheme="minorHAnsi" w:cstheme="minorHAnsi"/>
          <w:sz w:val="22"/>
        </w:rPr>
        <w:br/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pStyle w:val="Styl3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848B9">
        <w:rPr>
          <w:rFonts w:asciiTheme="minorHAnsi" w:hAnsiTheme="minorHAnsi" w:cstheme="minorHAnsi"/>
          <w:i/>
          <w:sz w:val="22"/>
          <w:szCs w:val="22"/>
        </w:rPr>
        <w:t>(pełna nazwa i dokładny adres)</w:t>
      </w:r>
    </w:p>
    <w:p w:rsidR="00FD3F24" w:rsidRPr="00C848B9" w:rsidRDefault="00FD3F24" w:rsidP="00BC42C0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43303" w:rsidRPr="00674AD7" w:rsidRDefault="00FD3F24" w:rsidP="00377B3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</w:rPr>
      </w:pPr>
      <w:bookmarkStart w:id="0" w:name="_GoBack"/>
      <w:r w:rsidRPr="004E20AF">
        <w:rPr>
          <w:rFonts w:asciiTheme="minorHAnsi" w:hAnsiTheme="minorHAnsi" w:cstheme="minorHAnsi"/>
          <w:sz w:val="22"/>
        </w:rPr>
        <w:t xml:space="preserve">Na </w:t>
      </w:r>
      <w:r w:rsidRPr="001B724E">
        <w:rPr>
          <w:rFonts w:asciiTheme="minorHAnsi" w:hAnsiTheme="minorHAnsi" w:cstheme="minorHAnsi"/>
          <w:sz w:val="22"/>
        </w:rPr>
        <w:t xml:space="preserve">potrzeby postępowania o udzielenie zamówienia </w:t>
      </w:r>
      <w:r w:rsidRPr="007046E6">
        <w:rPr>
          <w:rFonts w:asciiTheme="minorHAnsi" w:hAnsiTheme="minorHAnsi" w:cstheme="minorHAnsi"/>
          <w:sz w:val="22"/>
        </w:rPr>
        <w:t>publicznego  pn</w:t>
      </w:r>
      <w:r w:rsidRPr="00AD54CA">
        <w:rPr>
          <w:rFonts w:asciiTheme="minorHAnsi" w:hAnsiTheme="minorHAnsi" w:cstheme="minorHAnsi"/>
          <w:i/>
          <w:sz w:val="22"/>
        </w:rPr>
        <w:t>.</w:t>
      </w:r>
      <w:r w:rsidR="000265B7">
        <w:rPr>
          <w:rFonts w:asciiTheme="minorHAnsi" w:hAnsiTheme="minorHAnsi" w:cstheme="minorHAnsi"/>
          <w:b/>
          <w:sz w:val="22"/>
        </w:rPr>
        <w:t xml:space="preserve"> </w:t>
      </w:r>
      <w:r w:rsidR="00343303" w:rsidRPr="00674AD7">
        <w:rPr>
          <w:rFonts w:asciiTheme="minorHAnsi" w:hAnsiTheme="minorHAnsi" w:cstheme="minorHAnsi"/>
          <w:b/>
          <w:sz w:val="22"/>
        </w:rPr>
        <w:t xml:space="preserve">„Zakup i dostawa urządzeń pracowni </w:t>
      </w:r>
      <w:proofErr w:type="spellStart"/>
      <w:r w:rsidR="00343303" w:rsidRPr="00674AD7">
        <w:rPr>
          <w:rFonts w:asciiTheme="minorHAnsi" w:hAnsiTheme="minorHAnsi" w:cstheme="minorHAnsi"/>
          <w:b/>
          <w:sz w:val="22"/>
        </w:rPr>
        <w:t>tyflograficznej</w:t>
      </w:r>
      <w:proofErr w:type="spellEnd"/>
      <w:r w:rsidR="00343303" w:rsidRPr="00674AD7">
        <w:rPr>
          <w:rFonts w:asciiTheme="minorHAnsi" w:hAnsiTheme="minorHAnsi" w:cstheme="minorHAnsi"/>
          <w:b/>
          <w:sz w:val="22"/>
        </w:rPr>
        <w:t xml:space="preserve"> oraz wdrożenie linii technologicznej tworzenia </w:t>
      </w:r>
      <w:proofErr w:type="spellStart"/>
      <w:r w:rsidR="00343303" w:rsidRPr="00674AD7">
        <w:rPr>
          <w:rFonts w:asciiTheme="minorHAnsi" w:hAnsiTheme="minorHAnsi" w:cstheme="minorHAnsi"/>
          <w:b/>
          <w:sz w:val="22"/>
        </w:rPr>
        <w:t>tyflografik</w:t>
      </w:r>
      <w:proofErr w:type="spellEnd"/>
      <w:r w:rsidR="00343303" w:rsidRPr="00674AD7">
        <w:rPr>
          <w:rFonts w:asciiTheme="minorHAnsi" w:hAnsiTheme="minorHAnsi" w:cstheme="minorHAnsi"/>
          <w:b/>
          <w:sz w:val="22"/>
        </w:rPr>
        <w:t xml:space="preserve"> wraz z</w:t>
      </w:r>
      <w:r w:rsidR="00377B3D">
        <w:rPr>
          <w:rFonts w:asciiTheme="minorHAnsi" w:hAnsiTheme="minorHAnsi" w:cstheme="minorHAnsi"/>
          <w:b/>
          <w:sz w:val="22"/>
        </w:rPr>
        <w:t> </w:t>
      </w:r>
      <w:r w:rsidR="00343303" w:rsidRPr="00674AD7">
        <w:rPr>
          <w:rFonts w:asciiTheme="minorHAnsi" w:hAnsiTheme="minorHAnsi" w:cstheme="minorHAnsi"/>
          <w:b/>
          <w:sz w:val="22"/>
        </w:rPr>
        <w:t>wypukłymi opisami w alfabecie Braille’a”</w:t>
      </w:r>
    </w:p>
    <w:bookmarkEnd w:id="0"/>
    <w:p w:rsidR="00AD54CA" w:rsidRPr="00AD54CA" w:rsidRDefault="00AD54CA" w:rsidP="00AD54C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D3F24" w:rsidRPr="00A46C55" w:rsidRDefault="00FD3F24" w:rsidP="00AD54CA">
      <w:pPr>
        <w:pStyle w:val="Styl3"/>
        <w:spacing w:line="360" w:lineRule="auto"/>
        <w:jc w:val="lef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7046E6">
        <w:rPr>
          <w:rFonts w:asciiTheme="minorHAnsi" w:hAnsiTheme="minorHAnsi" w:cstheme="minorHAnsi"/>
          <w:color w:val="auto"/>
          <w:sz w:val="22"/>
          <w:szCs w:val="22"/>
        </w:rPr>
        <w:t>oświadczam</w:t>
      </w:r>
      <w:r w:rsidRPr="001B724E">
        <w:rPr>
          <w:rFonts w:asciiTheme="minorHAnsi" w:hAnsiTheme="minorHAnsi" w:cstheme="minorHAnsi"/>
          <w:color w:val="auto"/>
          <w:sz w:val="22"/>
          <w:szCs w:val="22"/>
        </w:rPr>
        <w:t>, że  informacje zawarte</w:t>
      </w:r>
      <w:r w:rsidRPr="004E20AF">
        <w:rPr>
          <w:rFonts w:asciiTheme="minorHAnsi" w:hAnsiTheme="minorHAnsi" w:cstheme="minorHAnsi"/>
          <w:sz w:val="22"/>
          <w:szCs w:val="22"/>
        </w:rPr>
        <w:t xml:space="preserve"> w oświadczeniu, o którym mowa w </w:t>
      </w:r>
      <w:hyperlink r:id="rId8" w:anchor="/document/18903829?unitId=art(125)ust(1)&amp;cm=DOCUMENT" w:history="1">
        <w:r w:rsidRPr="004E20A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</w:t>
        </w:r>
      </w:hyperlink>
      <w:r w:rsidRPr="004E20AF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4E20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E20AF">
        <w:rPr>
          <w:rFonts w:asciiTheme="minorHAnsi" w:hAnsiTheme="minorHAnsi" w:cstheme="minorHAnsi"/>
          <w:sz w:val="22"/>
          <w:szCs w:val="22"/>
        </w:rPr>
        <w:t>, w zakresie podstaw</w:t>
      </w:r>
      <w:r w:rsidRPr="00A46C55">
        <w:rPr>
          <w:rFonts w:asciiTheme="minorHAnsi" w:hAnsiTheme="minorHAnsi" w:cstheme="minorHAnsi"/>
          <w:sz w:val="22"/>
          <w:szCs w:val="22"/>
        </w:rPr>
        <w:t xml:space="preserve"> wykluczenia z postępowania, o których mowa w:</w:t>
      </w:r>
    </w:p>
    <w:p w:rsidR="00A46C55" w:rsidRPr="00A46C55" w:rsidRDefault="00A61A2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9" w:anchor="/document/18903829?unitId=art(108)ust(1)pkt(3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3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</w:t>
      </w:r>
    </w:p>
    <w:p w:rsidR="00A46C55" w:rsidRPr="00A46C55" w:rsidRDefault="00A61A2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0" w:anchor="/document/18903829?unitId=art(108)ust(1)pkt(4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4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 dotyczących orzeczenia zakazu ubiegania się o zamówienie publiczne tytułem środka zapobiegawczego,</w:t>
      </w:r>
    </w:p>
    <w:p w:rsidR="00A46C55" w:rsidRPr="00A46C55" w:rsidRDefault="00A61A2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1" w:anchor="/document/18903829?unitId=art(108)ust(1)pkt(5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5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 dotyczących zawarcia z innymi wykonawcami porozumienia mającego na celu zakłócenie konkurencji,</w:t>
      </w:r>
    </w:p>
    <w:p w:rsidR="00A46C55" w:rsidRDefault="00A61A2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2" w:anchor="/document/18903829?unitId=art(108)ust(1)pkt(6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6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</w:t>
      </w:r>
    </w:p>
    <w:p w:rsidR="000265B7" w:rsidRPr="00A46C55" w:rsidRDefault="000265B7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Art. 109 ust.1 pkt 4 ustawy </w:t>
      </w:r>
      <w:proofErr w:type="spellStart"/>
      <w:r>
        <w:rPr>
          <w:rFonts w:asciiTheme="minorHAnsi" w:hAnsiTheme="minorHAnsi" w:cstheme="minorHAnsi"/>
          <w:color w:val="auto"/>
          <w:sz w:val="22"/>
        </w:rPr>
        <w:t>Pzp</w:t>
      </w:r>
      <w:proofErr w:type="spellEnd"/>
    </w:p>
    <w:p w:rsidR="00A46C55" w:rsidRPr="00A46C55" w:rsidRDefault="00A46C55" w:rsidP="00AD54CA">
      <w:pPr>
        <w:widowControl w:val="0"/>
        <w:ind w:left="360"/>
        <w:rPr>
          <w:rFonts w:asciiTheme="minorHAnsi" w:hAnsiTheme="minorHAnsi" w:cstheme="minorHAnsi"/>
          <w:color w:val="auto"/>
          <w:sz w:val="22"/>
        </w:rPr>
      </w:pPr>
    </w:p>
    <w:p w:rsidR="00FD3F24" w:rsidRPr="00A46C55" w:rsidRDefault="00FD3F24" w:rsidP="007E3549">
      <w:pPr>
        <w:widowControl w:val="0"/>
        <w:tabs>
          <w:tab w:val="left" w:pos="2310"/>
        </w:tabs>
        <w:rPr>
          <w:rFonts w:asciiTheme="minorHAnsi" w:hAnsiTheme="minorHAnsi" w:cstheme="minorHAnsi"/>
          <w:b/>
          <w:sz w:val="22"/>
        </w:rPr>
      </w:pPr>
      <w:r w:rsidRPr="00A46C55">
        <w:rPr>
          <w:rFonts w:asciiTheme="minorHAnsi" w:hAnsiTheme="minorHAnsi" w:cstheme="minorHAnsi"/>
          <w:b/>
          <w:sz w:val="22"/>
        </w:rPr>
        <w:t>- są aktualne</w:t>
      </w:r>
      <w:r w:rsidR="001F31B3">
        <w:rPr>
          <w:rFonts w:asciiTheme="minorHAnsi" w:hAnsiTheme="minorHAnsi" w:cstheme="minorHAnsi"/>
          <w:b/>
          <w:sz w:val="22"/>
        </w:rPr>
        <w:t xml:space="preserve"> na dzień ich złożenia</w:t>
      </w:r>
      <w:r w:rsidRPr="00A46C55">
        <w:rPr>
          <w:rFonts w:asciiTheme="minorHAnsi" w:hAnsiTheme="minorHAnsi" w:cstheme="minorHAnsi"/>
          <w:b/>
          <w:sz w:val="22"/>
        </w:rPr>
        <w:t>.</w:t>
      </w:r>
      <w:r w:rsidR="007E3549">
        <w:rPr>
          <w:rFonts w:asciiTheme="minorHAnsi" w:hAnsiTheme="minorHAnsi" w:cstheme="minorHAnsi"/>
          <w:b/>
          <w:sz w:val="22"/>
        </w:rPr>
        <w:tab/>
      </w:r>
    </w:p>
    <w:p w:rsidR="00031BB4" w:rsidRPr="00C848B9" w:rsidRDefault="00FD3F24" w:rsidP="00A46C55">
      <w:pPr>
        <w:widowControl w:val="0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br/>
      </w:r>
    </w:p>
    <w:sectPr w:rsidR="00031BB4" w:rsidRPr="00C848B9" w:rsidSect="00A17FE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2C" w:rsidRDefault="00A61A2C" w:rsidP="00F73EB2">
      <w:pPr>
        <w:spacing w:line="240" w:lineRule="auto"/>
      </w:pPr>
      <w:r>
        <w:separator/>
      </w:r>
    </w:p>
  </w:endnote>
  <w:endnote w:type="continuationSeparator" w:id="0">
    <w:p w:rsidR="00A61A2C" w:rsidRDefault="00A61A2C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A61A2C" w:rsidP="00380C70">
    <w:pPr>
      <w:pStyle w:val="Stopka"/>
    </w:pPr>
  </w:p>
  <w:p w:rsidR="00B91972" w:rsidRDefault="00A61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A" w:rsidRDefault="00A61A2C">
    <w:pPr>
      <w:pStyle w:val="Stopka"/>
      <w:jc w:val="center"/>
    </w:pPr>
  </w:p>
  <w:p w:rsidR="00C7297A" w:rsidRDefault="00A61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2C" w:rsidRDefault="00A61A2C" w:rsidP="00F73EB2">
      <w:pPr>
        <w:spacing w:line="240" w:lineRule="auto"/>
      </w:pPr>
      <w:r>
        <w:separator/>
      </w:r>
    </w:p>
  </w:footnote>
  <w:footnote w:type="continuationSeparator" w:id="0">
    <w:p w:rsidR="00A61A2C" w:rsidRDefault="00A61A2C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A7" w:rsidRDefault="00874DA7" w:rsidP="00075EC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075EC7" w:rsidRDefault="00075EC7" w:rsidP="00075EC7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075EC7" w:rsidRDefault="00075EC7" w:rsidP="00075EC7">
    <w:pPr>
      <w:pStyle w:val="Nagwek"/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</w:p>
  <w:p w:rsidR="00075EC7" w:rsidRPr="00135DF9" w:rsidRDefault="00075EC7" w:rsidP="00075EC7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075EC7" w:rsidRDefault="00075EC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C848B9" w:rsidRDefault="00FD3F24" w:rsidP="00874DA7">
    <w:pPr>
      <w:spacing w:line="240" w:lineRule="auto"/>
      <w:jc w:val="right"/>
      <w:rPr>
        <w:rFonts w:asciiTheme="minorHAnsi" w:hAnsiTheme="minorHAnsi" w:cstheme="minorHAnsi"/>
        <w:bCs/>
        <w:sz w:val="20"/>
        <w:szCs w:val="20"/>
      </w:rPr>
    </w:pPr>
    <w:r w:rsidRPr="00C848B9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0265B7">
      <w:rPr>
        <w:rFonts w:asciiTheme="minorHAnsi" w:hAnsiTheme="minorHAnsi" w:cstheme="minorHAnsi"/>
        <w:bCs/>
        <w:sz w:val="20"/>
        <w:szCs w:val="20"/>
      </w:rPr>
      <w:t>2A</w:t>
    </w:r>
  </w:p>
  <w:p w:rsidR="00874DA7" w:rsidRPr="000265B7" w:rsidRDefault="000265B7" w:rsidP="00AD54CA">
    <w:pPr>
      <w:spacing w:line="240" w:lineRule="auto"/>
      <w:rPr>
        <w:rFonts w:asciiTheme="minorHAnsi" w:hAnsiTheme="minorHAnsi" w:cstheme="minorHAnsi"/>
        <w:color w:val="FF0000"/>
        <w:sz w:val="22"/>
      </w:rPr>
    </w:pPr>
    <w:r w:rsidRPr="000265B7">
      <w:rPr>
        <w:rFonts w:asciiTheme="minorHAnsi" w:hAnsiTheme="minorHAnsi" w:cstheme="minorHAnsi"/>
        <w:sz w:val="22"/>
      </w:rPr>
      <w:t>Nr postępowania</w:t>
    </w:r>
    <w:r w:rsidR="00AD54CA" w:rsidRPr="000265B7">
      <w:rPr>
        <w:rFonts w:asciiTheme="minorHAnsi" w:hAnsiTheme="minorHAnsi" w:cstheme="minorHAnsi"/>
        <w:sz w:val="22"/>
      </w:rPr>
      <w:t xml:space="preserve"> </w:t>
    </w:r>
    <w:r w:rsidR="001238B2" w:rsidRPr="000265B7">
      <w:rPr>
        <w:rFonts w:asciiTheme="minorHAnsi" w:hAnsiTheme="minorHAnsi"/>
        <w:color w:val="000000"/>
        <w:sz w:val="22"/>
      </w:rPr>
      <w:t>KG.261</w:t>
    </w:r>
    <w:r w:rsidR="00343303">
      <w:rPr>
        <w:rFonts w:asciiTheme="minorHAnsi" w:hAnsiTheme="minorHAnsi"/>
        <w:color w:val="000000"/>
        <w:sz w:val="22"/>
      </w:rPr>
      <w:t>.01.05</w:t>
    </w:r>
    <w:r w:rsidR="00AD54CA" w:rsidRPr="000265B7">
      <w:rPr>
        <w:rFonts w:asciiTheme="minorHAnsi" w:hAnsiTheme="minorHAnsi"/>
        <w:color w:val="000000"/>
        <w:sz w:val="22"/>
      </w:rPr>
      <w:t>.2024</w:t>
    </w:r>
    <w:r w:rsidR="00AD54CA" w:rsidRPr="000265B7">
      <w:rPr>
        <w:rFonts w:asciiTheme="minorHAnsi" w:hAnsiTheme="minorHAnsi" w:cs="Arial"/>
        <w:color w:val="000000"/>
        <w:sz w:val="2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C17B0"/>
    <w:multiLevelType w:val="hybridMultilevel"/>
    <w:tmpl w:val="BD829D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8"/>
    <w:rsid w:val="0001385D"/>
    <w:rsid w:val="000265B7"/>
    <w:rsid w:val="00031BB4"/>
    <w:rsid w:val="00036A72"/>
    <w:rsid w:val="00056E7B"/>
    <w:rsid w:val="000759D7"/>
    <w:rsid w:val="00075EC7"/>
    <w:rsid w:val="00083667"/>
    <w:rsid w:val="00083D4E"/>
    <w:rsid w:val="001107E8"/>
    <w:rsid w:val="00117D20"/>
    <w:rsid w:val="001238B2"/>
    <w:rsid w:val="00126FC1"/>
    <w:rsid w:val="00144424"/>
    <w:rsid w:val="00161DB3"/>
    <w:rsid w:val="00163171"/>
    <w:rsid w:val="00186AA9"/>
    <w:rsid w:val="001A6201"/>
    <w:rsid w:val="001A7A1E"/>
    <w:rsid w:val="001B54B4"/>
    <w:rsid w:val="001B724E"/>
    <w:rsid w:val="001C1812"/>
    <w:rsid w:val="001C4A82"/>
    <w:rsid w:val="001D2C70"/>
    <w:rsid w:val="001E7102"/>
    <w:rsid w:val="001F31B3"/>
    <w:rsid w:val="00202E14"/>
    <w:rsid w:val="00210DCB"/>
    <w:rsid w:val="00251E35"/>
    <w:rsid w:val="00255739"/>
    <w:rsid w:val="002623DF"/>
    <w:rsid w:val="00273ED2"/>
    <w:rsid w:val="00292DB6"/>
    <w:rsid w:val="002936BD"/>
    <w:rsid w:val="00295C2D"/>
    <w:rsid w:val="002E196F"/>
    <w:rsid w:val="00313699"/>
    <w:rsid w:val="00317157"/>
    <w:rsid w:val="00340FD1"/>
    <w:rsid w:val="00343303"/>
    <w:rsid w:val="00362D29"/>
    <w:rsid w:val="00373431"/>
    <w:rsid w:val="00377B3D"/>
    <w:rsid w:val="003833DB"/>
    <w:rsid w:val="00384421"/>
    <w:rsid w:val="003B1EDE"/>
    <w:rsid w:val="003C387B"/>
    <w:rsid w:val="003E2C64"/>
    <w:rsid w:val="00422993"/>
    <w:rsid w:val="00427FB1"/>
    <w:rsid w:val="00442A57"/>
    <w:rsid w:val="004608DF"/>
    <w:rsid w:val="00494415"/>
    <w:rsid w:val="004D7173"/>
    <w:rsid w:val="004E20AF"/>
    <w:rsid w:val="0050150B"/>
    <w:rsid w:val="00536DA2"/>
    <w:rsid w:val="005402E2"/>
    <w:rsid w:val="0057504F"/>
    <w:rsid w:val="005C7AEC"/>
    <w:rsid w:val="005F4B97"/>
    <w:rsid w:val="00607788"/>
    <w:rsid w:val="006248A3"/>
    <w:rsid w:val="00626B7E"/>
    <w:rsid w:val="00633BEB"/>
    <w:rsid w:val="006554E9"/>
    <w:rsid w:val="00674AD7"/>
    <w:rsid w:val="00681EB5"/>
    <w:rsid w:val="006A44D1"/>
    <w:rsid w:val="006A7CB8"/>
    <w:rsid w:val="006B28A8"/>
    <w:rsid w:val="006B5E3B"/>
    <w:rsid w:val="006E489A"/>
    <w:rsid w:val="006E4C09"/>
    <w:rsid w:val="006F1A6D"/>
    <w:rsid w:val="007046E6"/>
    <w:rsid w:val="007425F6"/>
    <w:rsid w:val="00750F6C"/>
    <w:rsid w:val="00792C45"/>
    <w:rsid w:val="007A0343"/>
    <w:rsid w:val="007D5992"/>
    <w:rsid w:val="007E3549"/>
    <w:rsid w:val="007F1A0D"/>
    <w:rsid w:val="008672B8"/>
    <w:rsid w:val="00874DA7"/>
    <w:rsid w:val="00875EBD"/>
    <w:rsid w:val="008D02A1"/>
    <w:rsid w:val="008D41F4"/>
    <w:rsid w:val="008D5D79"/>
    <w:rsid w:val="008D7E0C"/>
    <w:rsid w:val="009236E0"/>
    <w:rsid w:val="00935893"/>
    <w:rsid w:val="009459B5"/>
    <w:rsid w:val="00987616"/>
    <w:rsid w:val="009A204C"/>
    <w:rsid w:val="009F5F44"/>
    <w:rsid w:val="00A17FEB"/>
    <w:rsid w:val="00A46C55"/>
    <w:rsid w:val="00A53377"/>
    <w:rsid w:val="00A6166A"/>
    <w:rsid w:val="00A61A2C"/>
    <w:rsid w:val="00A82C8E"/>
    <w:rsid w:val="00AB6678"/>
    <w:rsid w:val="00AD54CA"/>
    <w:rsid w:val="00AE6CE3"/>
    <w:rsid w:val="00B0015C"/>
    <w:rsid w:val="00B02C6E"/>
    <w:rsid w:val="00B16868"/>
    <w:rsid w:val="00B271C6"/>
    <w:rsid w:val="00B708BC"/>
    <w:rsid w:val="00BB1E24"/>
    <w:rsid w:val="00BC42C0"/>
    <w:rsid w:val="00BC56DD"/>
    <w:rsid w:val="00BD01A8"/>
    <w:rsid w:val="00BD02B1"/>
    <w:rsid w:val="00BD193B"/>
    <w:rsid w:val="00BF0303"/>
    <w:rsid w:val="00C044BD"/>
    <w:rsid w:val="00C53CD7"/>
    <w:rsid w:val="00C551BB"/>
    <w:rsid w:val="00C848B9"/>
    <w:rsid w:val="00C85A11"/>
    <w:rsid w:val="00C958A8"/>
    <w:rsid w:val="00CF19F5"/>
    <w:rsid w:val="00D26FC9"/>
    <w:rsid w:val="00D50205"/>
    <w:rsid w:val="00D52950"/>
    <w:rsid w:val="00D565C5"/>
    <w:rsid w:val="00D56D31"/>
    <w:rsid w:val="00D616F4"/>
    <w:rsid w:val="00D65052"/>
    <w:rsid w:val="00D677B9"/>
    <w:rsid w:val="00D745D4"/>
    <w:rsid w:val="00D86237"/>
    <w:rsid w:val="00DA58D4"/>
    <w:rsid w:val="00DB2661"/>
    <w:rsid w:val="00DE5217"/>
    <w:rsid w:val="00DF2F21"/>
    <w:rsid w:val="00E06E09"/>
    <w:rsid w:val="00E12367"/>
    <w:rsid w:val="00E35F59"/>
    <w:rsid w:val="00E911E7"/>
    <w:rsid w:val="00EA3EFA"/>
    <w:rsid w:val="00EE199F"/>
    <w:rsid w:val="00F12181"/>
    <w:rsid w:val="00F64586"/>
    <w:rsid w:val="00F73EB2"/>
    <w:rsid w:val="00F775B9"/>
    <w:rsid w:val="00F94EB5"/>
    <w:rsid w:val="00FB1048"/>
    <w:rsid w:val="00FB2DB6"/>
    <w:rsid w:val="00FB30FB"/>
    <w:rsid w:val="00FB5B83"/>
    <w:rsid w:val="00FC707F"/>
    <w:rsid w:val="00FD2048"/>
    <w:rsid w:val="00FD3F24"/>
    <w:rsid w:val="00FF3B82"/>
    <w:rsid w:val="00F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1AEE"/>
  <w15:docId w15:val="{AEFD5182-C654-4DA7-BD81-5BE1B0D0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D3F24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FD3F24"/>
    <w:rPr>
      <w:rFonts w:eastAsiaTheme="minorHAnsi"/>
      <w:color w:val="00000A"/>
      <w:sz w:val="24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C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39"/>
    <w:rPr>
      <w:rFonts w:ascii="Tahoma" w:eastAsiaTheme="minorHAnsi" w:hAnsi="Tahoma" w:cs="Tahoma"/>
      <w:color w:val="00000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0265B7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0265B7"/>
    <w:pPr>
      <w:widowControl w:val="0"/>
      <w:shd w:val="clear" w:color="auto" w:fill="FFFFFF"/>
      <w:spacing w:after="240" w:line="418" w:lineRule="exact"/>
      <w:ind w:hanging="360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4B5B-9CCD-497B-8E0E-666DD302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16</cp:revision>
  <dcterms:created xsi:type="dcterms:W3CDTF">2024-03-12T17:07:00Z</dcterms:created>
  <dcterms:modified xsi:type="dcterms:W3CDTF">2024-07-22T20:44:00Z</dcterms:modified>
</cp:coreProperties>
</file>